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  <w:b w:val="1"/>
          <w:bCs w:val="1"/>
          <w:sz w:val="34"/>
          <w:szCs w:val="34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sz w:val="34"/>
          <w:szCs w:val="34"/>
          <w:rtl w:val="0"/>
        </w:rPr>
        <w:t xml:space="preserve">Axazure acelera su expansión internacional y fija como objetivo superar los 30 millones de euros de facturación en 2026</w:t>
      </w:r>
    </w:p>
    <w:p w:rsidR="00000000" w:rsidDel="00000000" w:rsidP="00000000" w:rsidRDefault="00000000" w:rsidRPr="00000000" w14:paraId="00000002">
      <w:pPr>
        <w:jc w:val="center"/>
        <w:rPr>
          <w:rFonts w:ascii="Noto Sans" w:cs="Noto Sans" w:eastAsia="Noto Sans" w:hAnsi="Noto Sans"/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ind w:left="283" w:right="-52" w:hanging="283"/>
        <w:jc w:val="both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sz w:val="20"/>
          <w:szCs w:val="20"/>
          <w:rtl w:val="0"/>
        </w:rPr>
        <w:t xml:space="preserve">La consultora tecnológica, especializada en Microsoft Business Applications e integrada del grupo Avvale, mantiene un crecimiento medio del 40% anual y refuerza su apuesta por la inteligencia artificial aplicada al negocio</w:t>
      </w:r>
    </w:p>
    <w:p w:rsidR="00000000" w:rsidDel="00000000" w:rsidP="00000000" w:rsidRDefault="00000000" w:rsidRPr="00000000" w14:paraId="00000004">
      <w:pPr>
        <w:ind w:left="720" w:right="-52" w:firstLine="0"/>
        <w:jc w:val="both"/>
        <w:rPr>
          <w:rFonts w:ascii="Noto Sans" w:cs="Noto Sans" w:eastAsia="Noto Sans" w:hAnsi="Noto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</w:rPr>
        <w:drawing>
          <wp:inline distB="114300" distT="114300" distL="114300" distR="114300">
            <wp:extent cx="4474948" cy="3198699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4948" cy="31986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Madrid, 17 de diciembre de 2025.-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hyperlink r:id="rId8">
        <w:r w:rsidDel="00000000" w:rsidR="00000000" w:rsidRPr="00000000">
          <w:rPr>
            <w:rFonts w:ascii="Calibri" w:cs="Calibri" w:eastAsia="Calibri" w:hAnsi="Calibri"/>
            <w:b w:val="1"/>
            <w:bCs w:val="1"/>
            <w:color w:val="1155cc"/>
            <w:u w:val="single"/>
            <w:rtl w:val="0"/>
          </w:rPr>
          <w:t xml:space="preserve">Axazure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compañía española especializada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Microsoft Business Applications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Power Platform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integrada en 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grupo Avvale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desde 2021, ha fijado un nuevo objetivo estratégico: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superar los 30 millones de euros de facturación en 2026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y consolidarse como uno de los actores de referencia en la transformación digital basada en inteligencia artificial y agentes autónomos.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compañía encadena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un crecimiento sostenido del 40% anual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sin interrupciones desde su incorporación a Avvale, una evolución poco habitual dentro del ecosistema de partners de Microsoft y que la sitúa entre las firmas tecnológicas de mayor dinamismo y especialización en Europa.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="276" w:lineRule="auto"/>
        <w:jc w:val="both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crecimiento se ha producido manteniendo una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estrategia clara de especialización y excelencia técnica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basada en el talento altamente certificado, la formación continua y una visión clara sobre el futuro del software empresarial.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Liderazgo reconocido dentro del ecosistema Microsoft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Axazure ha reforzado en los últimos años su posicionamiento dentro del ecosistema Microsoft, acumulando reconocimientos que avalan su peso específico a nivel internacional: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Miembro del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Microsoft Inner Circle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que agrupa al 1% de los mejores partners globales en Business Applications.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Partner del Año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de Dynamics 365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Finance &amp; Operations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en 2023 y 2025.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Partner del Año en Customer Experience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en 2021 y 2024.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Cuatro profesionales reconocidos como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Microsoft MVP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en áreas como AI ERP y Customer Engagement.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Distinción como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FastTrack Portfolio Partner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Estos hitos se apoyan en una estructura con un elevado peso de perfiles senior, arquitectos de soluciones y especialistas en inteligencia artificial aplicada a procesos de negocio.</w:t>
      </w:r>
    </w:p>
    <w:p w:rsidR="00000000" w:rsidDel="00000000" w:rsidP="00000000" w:rsidRDefault="00000000" w:rsidRPr="00000000" w14:paraId="00000014">
      <w:pPr>
        <w:jc w:val="both"/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Expansión internacional para acompañar a grandes clientes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hoja de ruta de Axazure pasa por una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expansión internacional selectiva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alineada con la estrategia del grupo Avvale y con las necesidades de grandes clientes multinacionales.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 el último año, la compañía ha reforzado su presencia global con: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before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apertura de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Axazure Colombia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en 2024, que ya opera como hub para Latinoamérica.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adquisición de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Lang &amp; Fragmeier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Alemania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), consultora especializada en Dynamics 365 Finance &amp; Operations, ampliando su huella en Europa Central.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240" w:lineRule="auto"/>
        <w:ind w:left="720" w:hanging="360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próxima apertura de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Axazure Italia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prevista para enero de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Esta red permite a Axazure ofrecer servicios Microsoft en los principales mercados internacionales, reforzando el porfolio del grupo Avvale en un momento clave para la adopción de soluciones empresariales basadas en IA.</w:t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bookmarkStart w:colFirst="0" w:colLast="0" w:name="_heading=h.agoat46glo5q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Inteligencia artificial aplicada y agentes autónomos: del discurso a la práctica</w:t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Axazure se ha posicionado en los últimos meses como uno de los actores más activos en la adopción temprana de la estrategia de Microsoft basada en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agentes autónomos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anticipando un nuevo estándar en productividad empresarial.</w:t>
      </w:r>
    </w:p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compañía ha adoptado un enfoque de </w:t>
      </w:r>
      <w:r w:rsidDel="00000000" w:rsidR="00000000" w:rsidRPr="00000000">
        <w:rPr>
          <w:rFonts w:ascii="Calibri" w:cs="Calibri" w:eastAsia="Calibri" w:hAnsi="Calibri"/>
          <w:i w:val="1"/>
          <w:iCs w:val="1"/>
          <w:rtl w:val="0"/>
        </w:rPr>
        <w:t xml:space="preserve">“cliente cero”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desplegando agentes internos antes de llevarlos al mercado.</w:t>
      </w:r>
    </w:p>
    <w:p w:rsidR="00000000" w:rsidDel="00000000" w:rsidP="00000000" w:rsidRDefault="00000000" w:rsidRPr="00000000" w14:paraId="0000001E">
      <w:pPr>
        <w:spacing w:after="240" w:before="240" w:lineRule="auto"/>
        <w:ind w:right="-5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“Estamos utilizando nuestros propios agentes para demostrar con hechos —y no solo con discurso— el impacto real que la agentificación tendrá en los procesos de negocio”, explica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Antonio Gilabert, Global Director de Axazure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F">
      <w:pPr>
        <w:spacing w:after="240" w:before="240" w:lineRule="auto"/>
        <w:ind w:right="-5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“Nuestra experiencia tanto en entornos SAP como Microsoft nos permite identificar casos de uso reales y acelerar la transformación de nuestros clientes con IA aplicada al negocio”, asegura Gilabert.</w:t>
      </w:r>
    </w:p>
    <w:p w:rsidR="00000000" w:rsidDel="00000000" w:rsidP="00000000" w:rsidRDefault="00000000" w:rsidRPr="00000000" w14:paraId="00000020">
      <w:pPr>
        <w:spacing w:after="240" w:before="240" w:lineRule="auto"/>
        <w:ind w:right="-52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Este enfoque sitúa a Axazure en el centro del nuevo paradigma de las aplicaciones empresariales, donde la combinación de datos, automatización y agentes inteligentes será clave para generar impacto medible.</w:t>
      </w:r>
    </w:p>
    <w:p w:rsidR="00000000" w:rsidDel="00000000" w:rsidP="00000000" w:rsidRDefault="00000000" w:rsidRPr="00000000" w14:paraId="00000021">
      <w:pPr>
        <w:pStyle w:val="Heading3"/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bookmarkStart w:colFirst="0" w:colLast="0" w:name="_heading=h.lh6d7i5s2tcu" w:id="1"/>
      <w:bookmarkEnd w:id="1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Un 2026 clave: crecimiento, talento y escala global</w:t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plan estratégico para 2026 se contempla: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befor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Más de 250 profesionales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con cerca del 95% de la plantilla certificada.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crecimiento superior al 60%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consolidación de Axazure como 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player global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dentro del ecosistema Microsoft Dynamics 365 y de la IA aplicada al negocio.</w:t>
      </w:r>
    </w:p>
    <w:p w:rsidR="00000000" w:rsidDel="00000000" w:rsidP="00000000" w:rsidRDefault="00000000" w:rsidRPr="00000000" w14:paraId="00000026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compañía seguirá reforzando su apuesta por talento senior, perfiles MVP y arquitectos especializados, manteniendo una cultura corporativa cohesionada como palanca de crecimiento.</w:t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spacing w:before="280" w:lineRule="auto"/>
        <w:jc w:val="both"/>
        <w:rPr>
          <w:rFonts w:ascii="Calibri" w:cs="Calibri" w:eastAsia="Calibri" w:hAnsi="Calibri"/>
          <w:b w:val="1"/>
          <w:bCs w:val="1"/>
          <w:color w:val="000000"/>
          <w:sz w:val="22"/>
          <w:szCs w:val="22"/>
        </w:rPr>
      </w:pPr>
      <w:bookmarkStart w:colFirst="0" w:colLast="0" w:name="_heading=h.1npaqb30u3rw" w:id="2"/>
      <w:bookmarkEnd w:id="2"/>
      <w:r w:rsidDel="00000000" w:rsidR="00000000" w:rsidRPr="00000000">
        <w:rPr>
          <w:rFonts w:ascii="Calibri" w:cs="Calibri" w:eastAsia="Calibri" w:hAnsi="Calibri"/>
          <w:b w:val="1"/>
          <w:bCs w:val="1"/>
          <w:color w:val="000000"/>
          <w:sz w:val="22"/>
          <w:szCs w:val="22"/>
          <w:rtl w:val="0"/>
        </w:rPr>
        <w:t xml:space="preserve">De partner local a referente internacional</w:t>
      </w:r>
    </w:p>
    <w:p w:rsidR="00000000" w:rsidDel="00000000" w:rsidP="00000000" w:rsidRDefault="00000000" w:rsidRPr="00000000" w14:paraId="00000028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Con su expansión internacional, el respaldo del grupo Avvale y una apuesta decidida por la inteligencia artificial aplicada, Axazure se posiciona como uno de los actores llamados a marcar el ritmo del mercado de aplicaciones de negocio en Europa y Latinoamérica.</w:t>
      </w:r>
    </w:p>
    <w:p w:rsidR="00000000" w:rsidDel="00000000" w:rsidP="00000000" w:rsidRDefault="00000000" w:rsidRPr="00000000" w14:paraId="00000029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2026 será un punto de inflexión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no sólo en términos de crecimiento, sino en la consolidación de Axazure como un partner global capaz de convertir la innovación tecnológica en impacto empresarial tangible.</w:t>
      </w:r>
    </w:p>
    <w:p w:rsidR="00000000" w:rsidDel="00000000" w:rsidP="00000000" w:rsidRDefault="00000000" w:rsidRPr="00000000" w14:paraId="0000002A">
      <w:pPr>
        <w:jc w:val="both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Sobre Avvale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Avvale es un grupo internacional líder en soluciones de transformación digital. Con una amplia presencia global, Avvale ayuda a las empresas a optimizar sus procesos de negocio y a alcanzar sus objetivos estratégicos mediante la innovación tecnológica.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Sobre Axazure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hyperlink r:id="rId9">
        <w:r w:rsidDel="00000000" w:rsidR="00000000" w:rsidRPr="00000000">
          <w:rPr>
            <w:rFonts w:ascii="Calibri" w:cs="Calibri" w:eastAsia="Calibri" w:hAnsi="Calibri"/>
            <w:rtl w:val="0"/>
          </w:rPr>
          <w:t xml:space="preserve">Axazure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es una empresa especializada en soluciones tecnológicas empresariales, con un fuerte enfoque en las Business Applications de Microsoft. Como parte del Grupo Avvale, Axazure ofrece a sus clientes soluciones innovadoras y de alto valor añadido.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00" w:line="288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40" w:lineRule="auto"/>
        <w:jc w:val="both"/>
        <w:rPr>
          <w:rFonts w:ascii="Calibri" w:cs="Calibri" w:eastAsia="Calibri" w:hAnsi="Calibri"/>
          <w:b w:val="1"/>
          <w:bCs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u w:val="single"/>
          <w:rtl w:val="0"/>
        </w:rPr>
        <w:t xml:space="preserve">CONTACTO</w:t>
      </w:r>
    </w:p>
    <w:p w:rsidR="00000000" w:rsidDel="00000000" w:rsidP="00000000" w:rsidRDefault="00000000" w:rsidRPr="00000000" w14:paraId="00000030">
      <w:pPr>
        <w:spacing w:after="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Actitud de Comunicación </w:t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Carlota Ramos</w:t>
      </w:r>
    </w:p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carlota.ramos</w:t>
      </w:r>
      <w:hyperlink r:id="rId10">
        <w:r w:rsidDel="00000000" w:rsidR="00000000" w:rsidRPr="00000000">
          <w:rPr>
            <w:rFonts w:ascii="Calibri" w:cs="Calibri" w:eastAsia="Calibri" w:hAnsi="Calibri"/>
            <w:color w:val="0000ff"/>
            <w:sz w:val="20"/>
            <w:szCs w:val="20"/>
            <w:u w:val="single"/>
            <w:rtl w:val="0"/>
          </w:rPr>
          <w:t xml:space="preserve">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sz w:val="24"/>
          <w:szCs w:val="24"/>
        </w:rPr>
      </w:pPr>
      <w:bookmarkStart w:colFirst="0" w:colLast="0" w:name="_heading=h.ts7121nhni7o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Teléfono: 913022860</w:t>
      </w: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440" w:top="1440" w:left="1797" w:right="179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3781425</wp:posOffset>
          </wp:positionH>
          <wp:positionV relativeFrom="paragraph">
            <wp:posOffset>-228597</wp:posOffset>
          </wp:positionV>
          <wp:extent cx="2174449" cy="645795"/>
          <wp:effectExtent b="0" l="0" r="0" t="0"/>
          <wp:wrapNone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6405" l="54486" r="800" t="38541"/>
                  <a:stretch>
                    <a:fillRect/>
                  </a:stretch>
                </pic:blipFill>
                <pic:spPr>
                  <a:xfrm>
                    <a:off x="0" y="0"/>
                    <a:ext cx="2174449" cy="64579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e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271BBD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271BBD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271BBD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Ttulo1Car" w:customStyle="1">
    <w:name w:val="Título 1 Car"/>
    <w:basedOn w:val="Fuentedeprrafopredeter"/>
    <w:uiPriority w:val="9"/>
    <w:rsid w:val="00271BBD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uiPriority w:val="9"/>
    <w:semiHidden w:val="1"/>
    <w:rsid w:val="00271BB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uiPriority w:val="9"/>
    <w:semiHidden w:val="1"/>
    <w:rsid w:val="00271BB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uiPriority w:val="9"/>
    <w:semiHidden w:val="1"/>
    <w:rsid w:val="00271BB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uiPriority w:val="9"/>
    <w:semiHidden w:val="1"/>
    <w:rsid w:val="00271BBD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uiPriority w:val="9"/>
    <w:semiHidden w:val="1"/>
    <w:rsid w:val="00271BB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271BBD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271BB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271BBD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uiPriority w:val="10"/>
    <w:rsid w:val="00271BBD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uiPriority w:val="11"/>
    <w:rsid w:val="00271BB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271BBD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271BBD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271BBD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271BBD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271BB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271BBD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271BBD"/>
    <w:rPr>
      <w:b w:val="1"/>
      <w:bCs w:val="1"/>
      <w:smallCaps w:val="1"/>
      <w:color w:val="0f4761" w:themeColor="accent1" w:themeShade="0000BF"/>
      <w:spacing w:val="5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8B48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8B485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8B485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8B485B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8B485B"/>
    <w:rPr>
      <w:b w:val="1"/>
      <w:bCs w:val="1"/>
      <w:sz w:val="20"/>
      <w:szCs w:val="20"/>
    </w:rPr>
  </w:style>
  <w:style w:type="character" w:styleId="Hipervnculo">
    <w:name w:val="Hyperlink"/>
    <w:basedOn w:val="Fuentedeprrafopredeter"/>
    <w:uiPriority w:val="99"/>
    <w:unhideWhenUsed w:val="1"/>
    <w:rsid w:val="004A71B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4A71B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maria.contenente@actitud.es" TargetMode="External"/><Relationship Id="rId9" Type="http://schemas.openxmlformats.org/officeDocument/2006/relationships/hyperlink" Target="https://www.axazure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hyperlink" Target="https://www.axazure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854FaWKCdWuvetwAPsfUAvWkIA==">CgMxLjAyDmguYWdvYXQ0NmdsbzVxMg5oLmxoNmQ3aTVzMnRjdTIOaC4xbnBhcWIzMHUzcncyDmgudHM3MTIxbmhuaTdvOAByITFHT2JtVnJUV2xSWmZpek94MUhuZHdTMzY1SGZoTVlNTA==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2025-12-16T15:51:00Z</dcterms:created>
  <dc:creator>Antonio Gilabert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0d39aa-cedd-4c7e-b248-31346a9014e0_Enabled">
    <vt:lpwstr>true</vt:lpwstr>
  </property>
  <property fmtid="{D5CDD505-2E9C-101B-9397-08002B2CF9AE}" pid="3" name="MSIP_Label_ef0d39aa-cedd-4c7e-b248-31346a9014e0_SetDate">
    <vt:lpwstr>2025-11-26T11:56:34Z</vt:lpwstr>
  </property>
  <property fmtid="{D5CDD505-2E9C-101B-9397-08002B2CF9AE}" pid="4" name="MSIP_Label_ef0d39aa-cedd-4c7e-b248-31346a9014e0_Method">
    <vt:lpwstr>Standard</vt:lpwstr>
  </property>
  <property fmtid="{D5CDD505-2E9C-101B-9397-08002B2CF9AE}" pid="5" name="MSIP_Label_ef0d39aa-cedd-4c7e-b248-31346a9014e0_Name">
    <vt:lpwstr>Internal Data</vt:lpwstr>
  </property>
  <property fmtid="{D5CDD505-2E9C-101B-9397-08002B2CF9AE}" pid="6" name="MSIP_Label_ef0d39aa-cedd-4c7e-b248-31346a9014e0_SiteId">
    <vt:lpwstr>0928edbc-6c95-443b-ac07-bc039c56e6b6</vt:lpwstr>
  </property>
  <property fmtid="{D5CDD505-2E9C-101B-9397-08002B2CF9AE}" pid="7" name="MSIP_Label_ef0d39aa-cedd-4c7e-b248-31346a9014e0_ActionId">
    <vt:lpwstr>6b9b0e45-d7c3-49be-8623-ec8e94abfbf8</vt:lpwstr>
  </property>
  <property fmtid="{D5CDD505-2E9C-101B-9397-08002B2CF9AE}" pid="8" name="MSIP_Label_ef0d39aa-cedd-4c7e-b248-31346a9014e0_ContentBits">
    <vt:lpwstr>0</vt:lpwstr>
  </property>
  <property fmtid="{D5CDD505-2E9C-101B-9397-08002B2CF9AE}" pid="9" name="MSIP_Label_ef0d39aa-cedd-4c7e-b248-31346a9014e0_Tag">
    <vt:lpwstr>10, 3, 0, 1</vt:lpwstr>
  </property>
</Properties>
</file>